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AF" w:rsidRPr="00C31CB2" w:rsidRDefault="00CC7BFE">
      <w:pPr>
        <w:pStyle w:val="a3"/>
        <w:spacing w:before="71"/>
        <w:ind w:left="570"/>
        <w:rPr>
          <w:sz w:val="24"/>
          <w:szCs w:val="24"/>
        </w:rPr>
      </w:pPr>
      <w:r w:rsidRPr="00C31CB2">
        <w:rPr>
          <w:sz w:val="24"/>
          <w:szCs w:val="24"/>
        </w:rPr>
        <w:t>ПАСПОРТ</w:t>
      </w:r>
      <w:r w:rsidRPr="00C31CB2">
        <w:rPr>
          <w:spacing w:val="-7"/>
          <w:sz w:val="24"/>
          <w:szCs w:val="24"/>
        </w:rPr>
        <w:t xml:space="preserve"> </w:t>
      </w:r>
      <w:r w:rsidRPr="00C31CB2">
        <w:rPr>
          <w:spacing w:val="-2"/>
          <w:sz w:val="24"/>
          <w:szCs w:val="24"/>
        </w:rPr>
        <w:t>ПРОЕКТА</w:t>
      </w:r>
    </w:p>
    <w:p w:rsidR="00791DAF" w:rsidRPr="00C31CB2" w:rsidRDefault="00791DAF">
      <w:pPr>
        <w:spacing w:before="7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720"/>
      </w:tblGrid>
      <w:tr w:rsidR="00C31CB2" w:rsidRPr="00C31CB2">
        <w:trPr>
          <w:trHeight w:val="760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3" w:lineRule="exact"/>
              <w:rPr>
                <w:i/>
                <w:sz w:val="24"/>
                <w:szCs w:val="24"/>
              </w:rPr>
            </w:pPr>
            <w:r w:rsidRPr="00C31CB2">
              <w:rPr>
                <w:i/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spacing w:line="253" w:lineRule="exact"/>
              <w:ind w:left="110"/>
              <w:rPr>
                <w:i/>
                <w:sz w:val="24"/>
                <w:szCs w:val="24"/>
              </w:rPr>
            </w:pPr>
            <w:r w:rsidRPr="00C31CB2">
              <w:rPr>
                <w:i/>
                <w:sz w:val="24"/>
                <w:szCs w:val="24"/>
              </w:rPr>
              <w:t>Для</w:t>
            </w:r>
            <w:r w:rsidRPr="00C31CB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31CB2">
              <w:rPr>
                <w:i/>
                <w:spacing w:val="-2"/>
                <w:sz w:val="24"/>
                <w:szCs w:val="24"/>
              </w:rPr>
              <w:t>заполнения</w:t>
            </w:r>
          </w:p>
        </w:tc>
      </w:tr>
      <w:tr w:rsidR="00C31CB2" w:rsidRPr="00C31CB2">
        <w:trPr>
          <w:trHeight w:val="505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C31CB2">
              <w:rPr>
                <w:sz w:val="24"/>
                <w:szCs w:val="24"/>
                <w:lang w:val="en-US"/>
              </w:rPr>
              <w:t>Въездной</w:t>
            </w:r>
            <w:proofErr w:type="spellEnd"/>
            <w:r w:rsidRPr="00C31C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CB2">
              <w:rPr>
                <w:sz w:val="24"/>
                <w:szCs w:val="24"/>
                <w:lang w:val="en-US"/>
              </w:rPr>
              <w:t>знак</w:t>
            </w:r>
            <w:proofErr w:type="spellEnd"/>
            <w:r w:rsidRPr="00C31CB2">
              <w:rPr>
                <w:sz w:val="24"/>
                <w:szCs w:val="24"/>
                <w:lang w:val="en-US"/>
              </w:rPr>
              <w:t xml:space="preserve"> 2</w:t>
            </w:r>
          </w:p>
        </w:tc>
      </w:tr>
      <w:tr w:rsidR="00C31CB2" w:rsidRPr="00C31CB2">
        <w:trPr>
          <w:trHeight w:val="1012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Команда</w:t>
            </w:r>
            <w:r w:rsidRPr="00C31CB2">
              <w:rPr>
                <w:spacing w:val="-7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1)Куликова Александра Ильинична 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2)</w:t>
            </w:r>
            <w:proofErr w:type="spellStart"/>
            <w:r w:rsidRPr="00C31CB2">
              <w:rPr>
                <w:sz w:val="24"/>
                <w:szCs w:val="24"/>
              </w:rPr>
              <w:t>Залинова</w:t>
            </w:r>
            <w:proofErr w:type="spellEnd"/>
            <w:r w:rsidRPr="00C31CB2">
              <w:rPr>
                <w:sz w:val="24"/>
                <w:szCs w:val="24"/>
              </w:rPr>
              <w:t xml:space="preserve"> Виктория Витальевна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3)Миронова Ульяна Григорьевна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4)Кондратенко Никита Валерьевич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5)Соцкова Анна Александровна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6)Васильева Дарья Александровна</w:t>
            </w:r>
          </w:p>
          <w:p w:rsidR="00C31CB2" w:rsidRPr="00C31CB2" w:rsidRDefault="00C31CB2" w:rsidP="002B55CA">
            <w:pPr>
              <w:rPr>
                <w:sz w:val="24"/>
                <w:szCs w:val="24"/>
                <w:lang w:eastAsia="ru-RU"/>
              </w:rPr>
            </w:pPr>
            <w:r w:rsidRPr="00C31CB2">
              <w:rPr>
                <w:sz w:val="24"/>
                <w:szCs w:val="24"/>
              </w:rPr>
              <w:t xml:space="preserve">7) </w:t>
            </w:r>
            <w:r w:rsidRPr="00C31CB2">
              <w:rPr>
                <w:sz w:val="24"/>
                <w:szCs w:val="24"/>
                <w:lang w:eastAsia="ru-RU"/>
              </w:rPr>
              <w:t xml:space="preserve">Аликова Анастасия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Бобировна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 xml:space="preserve"> </w:t>
            </w:r>
            <w:r w:rsidRPr="00C31CB2">
              <w:rPr>
                <w:sz w:val="24"/>
                <w:szCs w:val="24"/>
                <w:lang w:eastAsia="ru-RU"/>
              </w:rPr>
              <w:br/>
              <w:t>8)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Атаханова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Мастура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Хасанбаевна</w:t>
            </w:r>
            <w:proofErr w:type="spellEnd"/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505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Наставник</w:t>
            </w:r>
            <w:r w:rsidRPr="00C31CB2">
              <w:rPr>
                <w:spacing w:val="-9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Виноградова Татьяна </w:t>
            </w:r>
            <w:proofErr w:type="spellStart"/>
            <w:r w:rsidRPr="00C31CB2">
              <w:rPr>
                <w:sz w:val="24"/>
                <w:szCs w:val="24"/>
              </w:rPr>
              <w:t>Анатольевна</w:t>
            </w:r>
            <w:proofErr w:type="gramStart"/>
            <w:r w:rsidRPr="00C31CB2">
              <w:rPr>
                <w:sz w:val="24"/>
                <w:szCs w:val="24"/>
              </w:rPr>
              <w:t>,с</w:t>
            </w:r>
            <w:proofErr w:type="gramEnd"/>
            <w:r w:rsidRPr="00C31CB2">
              <w:rPr>
                <w:sz w:val="24"/>
                <w:szCs w:val="24"/>
              </w:rPr>
              <w:t>тарший</w:t>
            </w:r>
            <w:proofErr w:type="spellEnd"/>
            <w:r w:rsidRPr="00C31CB2">
              <w:rPr>
                <w:sz w:val="24"/>
                <w:szCs w:val="24"/>
              </w:rPr>
              <w:t xml:space="preserve"> преподаватель кафедры дизайна архитектурной </w:t>
            </w:r>
            <w:proofErr w:type="spellStart"/>
            <w:r w:rsidRPr="00C31CB2">
              <w:rPr>
                <w:sz w:val="24"/>
                <w:szCs w:val="24"/>
              </w:rPr>
              <w:t>среды,ПТИ</w:t>
            </w:r>
            <w:proofErr w:type="spellEnd"/>
          </w:p>
        </w:tc>
      </w:tr>
      <w:tr w:rsidR="00C31CB2" w:rsidRPr="00C31CB2">
        <w:trPr>
          <w:trHeight w:val="504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Сроки</w:t>
            </w:r>
            <w:r w:rsidRPr="00C31CB2">
              <w:rPr>
                <w:spacing w:val="-5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выполнения</w:t>
            </w:r>
          </w:p>
          <w:p w:rsidR="00C31CB2" w:rsidRPr="00C31CB2" w:rsidRDefault="00C31CB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01.10.25-17.12.25</w:t>
            </w:r>
          </w:p>
        </w:tc>
      </w:tr>
      <w:tr w:rsidR="00C31CB2" w:rsidRPr="00C31CB2">
        <w:trPr>
          <w:trHeight w:val="1353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Тип</w:t>
            </w:r>
            <w:r w:rsidRPr="00C31CB2">
              <w:rPr>
                <w:spacing w:val="-5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C31CB2">
              <w:rPr>
                <w:sz w:val="24"/>
                <w:szCs w:val="24"/>
              </w:rPr>
              <w:t>Креативный</w:t>
            </w:r>
            <w:proofErr w:type="spellEnd"/>
          </w:p>
        </w:tc>
      </w:tr>
      <w:tr w:rsidR="00C31CB2" w:rsidRPr="00C31CB2">
        <w:trPr>
          <w:trHeight w:val="760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ind w:right="289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Проблема,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которую решает проект</w:t>
            </w:r>
          </w:p>
        </w:tc>
        <w:tc>
          <w:tcPr>
            <w:tcW w:w="3720" w:type="dxa"/>
          </w:tcPr>
          <w:p w:rsidR="00C31CB2" w:rsidRPr="00C31CB2" w:rsidRDefault="00C31CB2" w:rsidP="00863EF8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Отсутствие чёткой идентификации и визуального обозначения границ  деревни Наволок создаёт проблему низкой узнаваемости и слабого визуального имиджа территории. Действующий въездной знак в деревне не соответствуют современным требованиям градостроительного и информационного дизайна, не отражают культурную специфику, историю и динамику развития Наволока, а также это может приводить к снижению туристической привлекательности, неэффективной навигации и упущенным возможностям для формирования позитивного имиджа. 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1012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4" w:lineRule="exact"/>
              <w:ind w:right="28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Эффекты и </w:t>
            </w:r>
            <w:r w:rsidRPr="00C31CB2">
              <w:rPr>
                <w:spacing w:val="-2"/>
                <w:sz w:val="24"/>
                <w:szCs w:val="24"/>
              </w:rPr>
              <w:t xml:space="preserve">индикаторы успешности </w:t>
            </w:r>
            <w:r w:rsidRPr="00C31CB2">
              <w:rPr>
                <w:sz w:val="24"/>
                <w:szCs w:val="24"/>
              </w:rPr>
              <w:t>реализации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проекта</w:t>
            </w:r>
          </w:p>
        </w:tc>
        <w:tc>
          <w:tcPr>
            <w:tcW w:w="3720" w:type="dxa"/>
          </w:tcPr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>Неисчислимый показатель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1. Повышение эстетического уровня территории населённого пункта.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rFonts w:ascii="Tahoma" w:hAnsi="Tahoma"/>
                <w:sz w:val="24"/>
                <w:szCs w:val="24"/>
              </w:rPr>
              <w:t>﻿﻿</w:t>
            </w:r>
            <w:r w:rsidRPr="00C31CB2">
              <w:rPr>
                <w:sz w:val="24"/>
                <w:szCs w:val="24"/>
              </w:rPr>
              <w:t>2. Формирование у жителей чувства гордости и принадлежности к месту проживания.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rFonts w:ascii="Tahoma" w:hAnsi="Tahoma"/>
                <w:sz w:val="24"/>
                <w:szCs w:val="24"/>
              </w:rPr>
              <w:t>﻿﻿</w:t>
            </w:r>
            <w:r w:rsidRPr="00C31CB2">
              <w:rPr>
                <w:sz w:val="24"/>
                <w:szCs w:val="24"/>
              </w:rPr>
              <w:t xml:space="preserve">3. Повышение </w:t>
            </w:r>
            <w:r w:rsidRPr="00C31CB2">
              <w:rPr>
                <w:sz w:val="24"/>
                <w:szCs w:val="24"/>
              </w:rPr>
              <w:lastRenderedPageBreak/>
              <w:t>информированности посетителей о названии и статусе населённого пункта.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rFonts w:ascii="Tahoma" w:hAnsi="Tahoma"/>
                <w:sz w:val="24"/>
                <w:szCs w:val="24"/>
              </w:rPr>
              <w:t>﻿﻿</w:t>
            </w:r>
            <w:r w:rsidRPr="00C31CB2">
              <w:rPr>
                <w:sz w:val="24"/>
                <w:szCs w:val="24"/>
              </w:rPr>
              <w:t>4. Создание положительного впечатления о территории у приезжающих.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>Исчисляемый показатель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1. Рост посещаемости территории туристами и гостями.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2. Увеличение числа обращений в туристические информационные службы.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3. Повышение активности местных предприятий сферы услуг.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1259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lastRenderedPageBreak/>
              <w:t>Актуальность</w:t>
            </w:r>
          </w:p>
        </w:tc>
        <w:tc>
          <w:tcPr>
            <w:tcW w:w="3720" w:type="dxa"/>
          </w:tcPr>
          <w:p w:rsidR="00C31CB2" w:rsidRPr="00C31CB2" w:rsidRDefault="00C31CB2" w:rsidP="00C31CB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  <w:lang w:eastAsia="ru-RU"/>
              </w:rPr>
              <w:t xml:space="preserve">Въездной знак формирует первый образ территории, отражает её историю и уникальность, выступая важным элементом 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t>территориального</w:t>
            </w:r>
            <w:proofErr w:type="gramEnd"/>
            <w:r w:rsidRPr="00C31CB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брендинга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>. Его наличие повышает узнаваемость города, способствует росту туристического потока и укрепляет чувство гордости у жителей.</w:t>
            </w:r>
            <w:r w:rsidRPr="00C31CB2">
              <w:rPr>
                <w:sz w:val="24"/>
                <w:szCs w:val="24"/>
                <w:lang w:eastAsia="ru-RU"/>
              </w:rPr>
              <w:br/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Администрация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Бронницкого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 xml:space="preserve"> сельского поселения обратилась к кафедре «Дизайн архитектурной среды» с заявкой на разработку макета въездного знака для деревни Наволок. Проект предназначен для участия в конкурсе Территориальных Общественных Самоуправлений в 2026 году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C31CB2" w:rsidRPr="00C31CB2">
        <w:trPr>
          <w:trHeight w:val="2023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Целевая</w:t>
            </w:r>
            <w:r w:rsidRPr="00C31CB2">
              <w:rPr>
                <w:spacing w:val="-7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3720" w:type="dxa"/>
          </w:tcPr>
          <w:p w:rsidR="00C31CB2" w:rsidRPr="00C31CB2" w:rsidRDefault="00C31CB2" w:rsidP="00A34FA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C31CB2">
              <w:rPr>
                <w:sz w:val="24"/>
                <w:szCs w:val="24"/>
              </w:rPr>
              <w:t>Туристы</w:t>
            </w:r>
            <w:proofErr w:type="gramStart"/>
            <w:r w:rsidRPr="00C31CB2">
              <w:rPr>
                <w:sz w:val="24"/>
                <w:szCs w:val="24"/>
              </w:rPr>
              <w:t>,и</w:t>
            </w:r>
            <w:proofErr w:type="gramEnd"/>
            <w:r w:rsidRPr="00C31CB2">
              <w:rPr>
                <w:sz w:val="24"/>
                <w:szCs w:val="24"/>
              </w:rPr>
              <w:t>нвесторы,партнеры,приезжающие</w:t>
            </w:r>
            <w:proofErr w:type="spellEnd"/>
            <w:r w:rsidRPr="00C31CB2">
              <w:rPr>
                <w:sz w:val="24"/>
                <w:szCs w:val="24"/>
              </w:rPr>
              <w:t xml:space="preserve"> гости и проезжающие </w:t>
            </w:r>
            <w:proofErr w:type="spellStart"/>
            <w:r w:rsidRPr="00C31CB2">
              <w:rPr>
                <w:sz w:val="24"/>
                <w:szCs w:val="24"/>
              </w:rPr>
              <w:t>путешественники,жители</w:t>
            </w:r>
            <w:proofErr w:type="spellEnd"/>
            <w:r w:rsidRPr="00C31CB2">
              <w:rPr>
                <w:sz w:val="24"/>
                <w:szCs w:val="24"/>
              </w:rPr>
              <w:t xml:space="preserve"> деревни</w:t>
            </w:r>
          </w:p>
        </w:tc>
      </w:tr>
      <w:tr w:rsidR="00C31CB2" w:rsidRPr="00C31CB2">
        <w:trPr>
          <w:trHeight w:val="760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31CB2">
              <w:rPr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3720" w:type="dxa"/>
          </w:tcPr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Создание уникальной авторской 3D модели объекта для деревни Наволок, который будет основан на глубоком исследовании историко-культурного контекста и разработан в сотрудничестве с квалифицированными специалистами в области архитектуры и дизайна.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506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3720" w:type="dxa"/>
          </w:tcPr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1)Разработать современную и выразительную объёмно-пространственную композицию </w:t>
            </w:r>
            <w:r w:rsidRPr="00C31CB2">
              <w:rPr>
                <w:sz w:val="24"/>
                <w:szCs w:val="24"/>
              </w:rPr>
              <w:lastRenderedPageBreak/>
              <w:t>въездного знака.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2)Отразить в его форме и дизайне историю, культуру и особенности Наволока.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3)Повысить визуальную привлекательность и узнаваемость территории.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4)Сформировать у гостей позитивное первое впечатление о деревне.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1009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ind w:right="808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lastRenderedPageBreak/>
              <w:t>Конкуренты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 xml:space="preserve">и </w:t>
            </w:r>
            <w:r w:rsidRPr="00C31CB2">
              <w:rPr>
                <w:spacing w:val="-2"/>
                <w:sz w:val="24"/>
                <w:szCs w:val="24"/>
              </w:rPr>
              <w:t>аналоги</w:t>
            </w:r>
          </w:p>
        </w:tc>
        <w:tc>
          <w:tcPr>
            <w:tcW w:w="3720" w:type="dxa"/>
          </w:tcPr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1)Проект «Въездной знак 1»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2)Научно-проектный центр «Акрон инжиниринг»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3)«Перспектива»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4)«</w:t>
            </w:r>
            <w:proofErr w:type="spellStart"/>
            <w:r w:rsidRPr="00C31CB2">
              <w:rPr>
                <w:sz w:val="24"/>
                <w:szCs w:val="24"/>
              </w:rPr>
              <w:t>СтальПроект</w:t>
            </w:r>
            <w:proofErr w:type="spellEnd"/>
            <w:r w:rsidRPr="00C31CB2">
              <w:rPr>
                <w:sz w:val="24"/>
                <w:szCs w:val="24"/>
              </w:rPr>
              <w:t>»</w:t>
            </w:r>
          </w:p>
          <w:p w:rsidR="00C31CB2" w:rsidRPr="00C31CB2" w:rsidRDefault="00C31CB2" w:rsidP="00E265C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1009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Новизна</w:t>
            </w:r>
          </w:p>
        </w:tc>
        <w:tc>
          <w:tcPr>
            <w:tcW w:w="3720" w:type="dxa"/>
          </w:tcPr>
          <w:p w:rsidR="00C31CB2" w:rsidRPr="00C31CB2" w:rsidRDefault="00C31CB2" w:rsidP="00A8655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1CB2">
              <w:rPr>
                <w:sz w:val="24"/>
                <w:szCs w:val="24"/>
                <w:lang w:eastAsia="ru-RU"/>
              </w:rPr>
              <w:t xml:space="preserve"> Превращение въездного знака из пассивного информационного указателя в «визитную карточку»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t>,и</w:t>
            </w:r>
            <w:proofErr w:type="gramEnd"/>
            <w:r w:rsidRPr="00C31CB2">
              <w:rPr>
                <w:sz w:val="24"/>
                <w:szCs w:val="24"/>
                <w:lang w:eastAsia="ru-RU"/>
              </w:rPr>
              <w:t>дентификатор места и точку притяжения.</w:t>
            </w:r>
            <w:r w:rsidRPr="00C31CB2">
              <w:rPr>
                <w:sz w:val="24"/>
                <w:szCs w:val="24"/>
                <w:lang w:eastAsia="ru-RU"/>
              </w:rPr>
              <w:br/>
            </w:r>
            <w:r w:rsidRPr="00C31CB2">
              <w:rPr>
                <w:sz w:val="24"/>
                <w:szCs w:val="24"/>
                <w:lang w:eastAsia="ru-RU"/>
              </w:rPr>
              <w:br/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758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Риски</w:t>
            </w:r>
          </w:p>
        </w:tc>
        <w:tc>
          <w:tcPr>
            <w:tcW w:w="3720" w:type="dxa"/>
          </w:tcPr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 xml:space="preserve">1) </w:t>
            </w:r>
            <w:r w:rsidRPr="00C31CB2">
              <w:rPr>
                <w:sz w:val="24"/>
                <w:szCs w:val="24"/>
              </w:rPr>
              <w:t>Недостаток финансирования для реализации проекта.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>Решение:</w:t>
            </w:r>
            <w:r w:rsidRPr="00C31CB2">
              <w:rPr>
                <w:sz w:val="24"/>
                <w:szCs w:val="24"/>
              </w:rPr>
              <w:t xml:space="preserve"> Провести предварительный анализ бюджета, привлечь спонсоров.      Также можно искать гранты от территориального управления</w:t>
            </w:r>
            <w:proofErr w:type="gramStart"/>
            <w:r w:rsidRPr="00C31CB2">
              <w:rPr>
                <w:sz w:val="24"/>
                <w:szCs w:val="24"/>
              </w:rPr>
              <w:t xml:space="preserve"> ,</w:t>
            </w:r>
            <w:proofErr w:type="gramEnd"/>
            <w:r w:rsidRPr="00C31CB2">
              <w:rPr>
                <w:sz w:val="24"/>
                <w:szCs w:val="24"/>
              </w:rPr>
              <w:t>местных властей , частных организаций.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 xml:space="preserve">2) </w:t>
            </w:r>
            <w:r w:rsidRPr="00C31CB2">
              <w:rPr>
                <w:sz w:val="24"/>
                <w:szCs w:val="24"/>
              </w:rPr>
              <w:t>Задержки в получении необходимых разрешений от местных властей.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 xml:space="preserve">Решение: </w:t>
            </w:r>
            <w:r w:rsidRPr="00C31CB2">
              <w:rPr>
                <w:sz w:val="24"/>
                <w:szCs w:val="24"/>
              </w:rPr>
              <w:t>Заблаговременно подготовить все необходимые документы и провести консультации с представителями власти, чтобы понять все требования и сроки.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 xml:space="preserve">3) </w:t>
            </w:r>
            <w:r w:rsidRPr="00C31CB2">
              <w:rPr>
                <w:sz w:val="24"/>
                <w:szCs w:val="24"/>
              </w:rPr>
              <w:t>Негативная реакция со стороны жителей или организаций.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b/>
                <w:bCs/>
                <w:sz w:val="24"/>
                <w:szCs w:val="24"/>
              </w:rPr>
              <w:t xml:space="preserve">Решение: </w:t>
            </w:r>
            <w:r w:rsidRPr="00C31CB2">
              <w:rPr>
                <w:sz w:val="24"/>
                <w:szCs w:val="24"/>
              </w:rPr>
              <w:t xml:space="preserve">Организовать общественные слушания или опросы для получения мнения граждан и учета их предложений. </w:t>
            </w:r>
          </w:p>
          <w:p w:rsidR="00C31CB2" w:rsidRPr="00C31CB2" w:rsidRDefault="00C31CB2" w:rsidP="00C31CB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1CB2">
              <w:rPr>
                <w:b/>
                <w:sz w:val="24"/>
                <w:szCs w:val="24"/>
                <w:lang w:eastAsia="ru-RU"/>
              </w:rPr>
              <w:t>4)</w:t>
            </w:r>
            <w:r w:rsidRPr="00C31CB2">
              <w:rPr>
                <w:sz w:val="24"/>
                <w:szCs w:val="24"/>
                <w:lang w:eastAsia="ru-RU"/>
              </w:rPr>
              <w:t>Конкуренция со стороны других организаций, предлагающих альтернативные проекты оформления территории.</w:t>
            </w:r>
            <w:r w:rsidRPr="00C31CB2">
              <w:rPr>
                <w:sz w:val="24"/>
                <w:szCs w:val="24"/>
                <w:lang w:eastAsia="ru-RU"/>
              </w:rPr>
              <w:br/>
            </w:r>
            <w:r w:rsidRPr="00C31CB2">
              <w:rPr>
                <w:b/>
                <w:sz w:val="24"/>
                <w:szCs w:val="24"/>
                <w:lang w:eastAsia="ru-RU"/>
              </w:rPr>
              <w:t>Решение</w:t>
            </w:r>
            <w:r w:rsidRPr="00C31CB2">
              <w:rPr>
                <w:sz w:val="24"/>
                <w:szCs w:val="24"/>
                <w:lang w:eastAsia="ru-RU"/>
              </w:rPr>
              <w:t xml:space="preserve">: провести анализ конкурентных проектов, подготовить уникальное 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lastRenderedPageBreak/>
              <w:t>архитектурное решение</w:t>
            </w:r>
            <w:proofErr w:type="gramEnd"/>
            <w:r w:rsidRPr="00C31CB2">
              <w:rPr>
                <w:sz w:val="24"/>
                <w:szCs w:val="24"/>
                <w:lang w:eastAsia="ru-RU"/>
              </w:rPr>
              <w:t xml:space="preserve"> именно нашего знака. Укреплять сотрудничество с местными властями и профессиональным сообществом, чтобы повысить шансы утверждения работы.</w:t>
            </w:r>
          </w:p>
          <w:p w:rsidR="00C31CB2" w:rsidRPr="00C31CB2" w:rsidRDefault="00C31CB2" w:rsidP="00E265C9">
            <w:pPr>
              <w:pStyle w:val="TableParagraph"/>
              <w:rPr>
                <w:sz w:val="24"/>
                <w:szCs w:val="24"/>
              </w:rPr>
            </w:pP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501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lastRenderedPageBreak/>
              <w:t>Результат/продукт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3D  модель объекта</w:t>
            </w:r>
          </w:p>
        </w:tc>
      </w:tr>
    </w:tbl>
    <w:p w:rsidR="00791DAF" w:rsidRPr="00C31CB2" w:rsidRDefault="00791DAF">
      <w:pPr>
        <w:pStyle w:val="TableParagraph"/>
        <w:rPr>
          <w:sz w:val="24"/>
          <w:szCs w:val="24"/>
        </w:rPr>
        <w:sectPr w:rsidR="00791DAF" w:rsidRPr="00C31CB2">
          <w:type w:val="continuous"/>
          <w:pgSz w:w="11910" w:h="16840"/>
          <w:pgMar w:top="620" w:right="1275" w:bottom="663" w:left="113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720"/>
      </w:tblGrid>
      <w:tr w:rsidR="00C31CB2" w:rsidRPr="00C31CB2">
        <w:trPr>
          <w:trHeight w:val="1264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lastRenderedPageBreak/>
              <w:t>Ключевые характеристики продукта:</w:t>
            </w:r>
          </w:p>
          <w:p w:rsidR="00C31CB2" w:rsidRPr="00C31CB2" w:rsidRDefault="00C31CB2">
            <w:pPr>
              <w:pStyle w:val="TableParagraph"/>
              <w:spacing w:line="250" w:lineRule="atLeast"/>
              <w:ind w:right="499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А. Исчислимые Б.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Неисчислимые</w:t>
            </w:r>
          </w:p>
        </w:tc>
        <w:tc>
          <w:tcPr>
            <w:tcW w:w="3720" w:type="dxa"/>
          </w:tcPr>
          <w:p w:rsidR="00C31CB2" w:rsidRPr="00C31CB2" w:rsidRDefault="00C31CB2" w:rsidP="00297FA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1CB2">
              <w:rPr>
                <w:sz w:val="24"/>
                <w:szCs w:val="24"/>
                <w:lang w:eastAsia="ru-RU"/>
              </w:rPr>
              <w:t>А. Исчислимые показатели</w:t>
            </w:r>
            <w:r w:rsidRPr="00C31CB2">
              <w:rPr>
                <w:sz w:val="24"/>
                <w:szCs w:val="24"/>
                <w:lang w:eastAsia="ru-RU"/>
              </w:rPr>
              <w:br/>
              <w:t>1) Размеры знака</w:t>
            </w:r>
            <w:r w:rsidRPr="00C31CB2">
              <w:rPr>
                <w:sz w:val="24"/>
                <w:szCs w:val="24"/>
                <w:lang w:eastAsia="ru-RU"/>
              </w:rPr>
              <w:br/>
              <w:t>2)Количество использованных материалов</w:t>
            </w:r>
            <w:r w:rsidRPr="00C31CB2">
              <w:rPr>
                <w:sz w:val="24"/>
                <w:szCs w:val="24"/>
                <w:lang w:eastAsia="ru-RU"/>
              </w:rPr>
              <w:br/>
              <w:t>3) Срок службы знака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Б. Неисчислимые показатели 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1) Эстетическая привлекательность </w:t>
            </w:r>
            <w:r w:rsidRPr="00C31CB2">
              <w:rPr>
                <w:sz w:val="24"/>
                <w:szCs w:val="24"/>
                <w:lang w:eastAsia="ru-RU"/>
              </w:rPr>
              <w:br/>
              <w:t>2) Информативность.</w:t>
            </w:r>
            <w:r w:rsidRPr="00C31CB2">
              <w:rPr>
                <w:sz w:val="24"/>
                <w:szCs w:val="24"/>
                <w:lang w:eastAsia="ru-RU"/>
              </w:rPr>
              <w:br/>
              <w:t>3)Устойчивость к вандализму.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759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4" w:lineRule="exact"/>
              <w:ind w:right="51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 xml:space="preserve">Необходимые </w:t>
            </w:r>
            <w:r w:rsidRPr="00C31CB2">
              <w:rPr>
                <w:sz w:val="24"/>
                <w:szCs w:val="24"/>
              </w:rPr>
              <w:t>ресурсы,</w:t>
            </w:r>
            <w:r w:rsidRPr="00C31CB2">
              <w:rPr>
                <w:spacing w:val="-13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в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том</w:t>
            </w:r>
            <w:r w:rsidRPr="00C31CB2">
              <w:rPr>
                <w:spacing w:val="-13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числе смета расходов</w:t>
            </w:r>
          </w:p>
        </w:tc>
        <w:tc>
          <w:tcPr>
            <w:tcW w:w="3720" w:type="dxa"/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739"/>
              <w:gridCol w:w="562"/>
              <w:gridCol w:w="916"/>
              <w:gridCol w:w="739"/>
              <w:gridCol w:w="739"/>
            </w:tblGrid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Количество, шт.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Стоимость руб./шт.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Длительность работ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Создание эскизов, проработка и анализ ТЗ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 мес.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 xml:space="preserve">Обсуждение с заказчиком, создание эскизов (скетчей), проработка простых концепций знака в виде скетчей для утверждения </w:t>
                  </w:r>
                  <w:r w:rsidRPr="00C31CB2">
                    <w:rPr>
                      <w:sz w:val="24"/>
                      <w:szCs w:val="24"/>
                    </w:rPr>
                    <w:lastRenderedPageBreak/>
                    <w:t>общей формы и композиции.</w:t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lastRenderedPageBreak/>
                    <w:t>Проектирование (Дизайнер</w:t>
                  </w:r>
                  <w:proofErr w:type="gramStart"/>
                  <w:r w:rsidRPr="00C31CB2">
                    <w:rPr>
                      <w:sz w:val="24"/>
                      <w:szCs w:val="24"/>
                    </w:rPr>
                    <w:t>ы-</w:t>
                  </w:r>
                  <w:proofErr w:type="gramEnd"/>
                  <w:r w:rsidRPr="00C31CB2">
                    <w:rPr>
                      <w:sz w:val="24"/>
                      <w:szCs w:val="24"/>
                    </w:rPr>
                    <w:t xml:space="preserve"> Архитекторы)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70000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2 мес.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Создание чертежей и 3d визуализации</w:t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 xml:space="preserve">Оборудование </w:t>
                  </w:r>
                  <w:proofErr w:type="gramStart"/>
                  <w:r w:rsidRPr="00C31CB2"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31CB2">
                    <w:rPr>
                      <w:sz w:val="24"/>
                      <w:szCs w:val="24"/>
                    </w:rPr>
                    <w:t>аренда)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2 мес.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C31CB2">
                    <w:rPr>
                      <w:sz w:val="24"/>
                      <w:szCs w:val="24"/>
                    </w:rPr>
                    <w:t>ПК (Мощный ПК:</w:t>
                  </w:r>
                  <w:proofErr w:type="gramEnd"/>
                  <w:r w:rsidRPr="00C31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1CB2">
                    <w:rPr>
                      <w:sz w:val="24"/>
                      <w:szCs w:val="24"/>
                    </w:rPr>
                    <w:t xml:space="preserve">CPU 12–16+ ядер, GPU уровня RTX 4080/4090, RAM 32–64 ГБ DDR5, SSD </w:t>
                  </w:r>
                  <w:proofErr w:type="spellStart"/>
                  <w:r w:rsidRPr="00C31CB2">
                    <w:rPr>
                      <w:sz w:val="24"/>
                      <w:szCs w:val="24"/>
                    </w:rPr>
                    <w:t>NVMe</w:t>
                  </w:r>
                  <w:proofErr w:type="spellEnd"/>
                  <w:r w:rsidRPr="00C31CB2">
                    <w:rPr>
                      <w:sz w:val="24"/>
                      <w:szCs w:val="24"/>
                    </w:rPr>
                    <w:t xml:space="preserve"> 1–2 ТБ, БП 750–1000 Вт.)</w:t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lastRenderedPageBreak/>
                    <w:tab/>
                  </w:r>
                  <w:proofErr w:type="gramEnd"/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lastRenderedPageBreak/>
                    <w:t>Расходы на интернет-услуги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2 мес.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Оплата услуг доступа к сети Интернет</w:t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  <w:r w:rsidRPr="00C31CB2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 xml:space="preserve">Непредвидимые расходы  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10 %-Резерв на дополнительные материалы</w:t>
                  </w:r>
                  <w:proofErr w:type="gramStart"/>
                  <w:r w:rsidRPr="00C31CB2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C31CB2">
                    <w:rPr>
                      <w:sz w:val="24"/>
                      <w:szCs w:val="24"/>
                    </w:rPr>
                    <w:t>зменения</w:t>
                  </w:r>
                  <w:bookmarkStart w:id="0" w:name="_GoBack"/>
                  <w:bookmarkEnd w:id="0"/>
                </w:p>
              </w:tc>
            </w:tr>
            <w:tr w:rsidR="00C31CB2" w:rsidRPr="00C31CB2" w:rsidTr="000D36DE"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562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16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97000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C31CB2">
                    <w:rPr>
                      <w:sz w:val="24"/>
                      <w:szCs w:val="24"/>
                    </w:rPr>
                    <w:t>3 мес.</w:t>
                  </w:r>
                </w:p>
              </w:tc>
              <w:tc>
                <w:tcPr>
                  <w:tcW w:w="739" w:type="dxa"/>
                </w:tcPr>
                <w:p w:rsidR="00C31CB2" w:rsidRPr="00C31CB2" w:rsidRDefault="00C31CB2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502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lastRenderedPageBreak/>
              <w:t>Источник</w:t>
            </w:r>
            <w:r w:rsidRPr="00C31CB2">
              <w:rPr>
                <w:spacing w:val="-5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и</w:t>
            </w:r>
            <w:r w:rsidRPr="00C31CB2">
              <w:rPr>
                <w:spacing w:val="-4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объемы</w:t>
            </w:r>
          </w:p>
          <w:p w:rsidR="00C31CB2" w:rsidRPr="00C31CB2" w:rsidRDefault="00C31CB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>доходов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Источник: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1)Спонсорская помощь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2)Администрация Бронницкого сельского поселения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3)Территориальное общественное самоуправление 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Объемы доходов: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В объемах соответственно смете</w:t>
            </w:r>
          </w:p>
        </w:tc>
      </w:tr>
      <w:tr w:rsidR="00C31CB2" w:rsidRPr="00C31CB2">
        <w:trPr>
          <w:trHeight w:val="1517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Каналы</w:t>
            </w:r>
            <w:r w:rsidRPr="00C31CB2">
              <w:rPr>
                <w:spacing w:val="-2"/>
                <w:sz w:val="24"/>
                <w:szCs w:val="24"/>
              </w:rPr>
              <w:t xml:space="preserve"> продвижения</w:t>
            </w:r>
          </w:p>
        </w:tc>
        <w:tc>
          <w:tcPr>
            <w:tcW w:w="3720" w:type="dxa"/>
          </w:tcPr>
          <w:p w:rsidR="00C31CB2" w:rsidRPr="00C31CB2" w:rsidRDefault="00C31CB2" w:rsidP="00F514E2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1)Biz360- Интернет-журнал для предпринимателей малого бизнеса от компании «1С». Основные темы: </w:t>
            </w:r>
            <w:proofErr w:type="spellStart"/>
            <w:r w:rsidRPr="00C31CB2">
              <w:rPr>
                <w:sz w:val="24"/>
                <w:szCs w:val="24"/>
              </w:rPr>
              <w:t>управление</w:t>
            </w:r>
            <w:proofErr w:type="gramStart"/>
            <w:r w:rsidRPr="00C31CB2">
              <w:rPr>
                <w:sz w:val="24"/>
                <w:szCs w:val="24"/>
              </w:rPr>
              <w:t>,а</w:t>
            </w:r>
            <w:proofErr w:type="gramEnd"/>
            <w:r w:rsidRPr="00C31CB2">
              <w:rPr>
                <w:sz w:val="24"/>
                <w:szCs w:val="24"/>
              </w:rPr>
              <w:t>втоматизация</w:t>
            </w:r>
            <w:proofErr w:type="spellEnd"/>
            <w:r w:rsidRPr="00C31CB2">
              <w:rPr>
                <w:sz w:val="24"/>
                <w:szCs w:val="24"/>
              </w:rPr>
              <w:t xml:space="preserve">, точки роста, новые ниши, продажи, стартапы и продвижения. </w:t>
            </w:r>
          </w:p>
          <w:p w:rsidR="00C31CB2" w:rsidRPr="00C31CB2" w:rsidRDefault="00C31CB2" w:rsidP="00F514E2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2)VC.ru-Крупное медиа о стартапах, маркетинге, финансах и технологиях, где можно публиковать статьи о своих проектах.</w:t>
            </w:r>
          </w:p>
          <w:p w:rsidR="00C31CB2" w:rsidRPr="00C31CB2" w:rsidRDefault="00C31CB2" w:rsidP="00F514E2">
            <w:pPr>
              <w:pStyle w:val="TableParagraph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3)Конкурс «моя въездная группа» </w:t>
            </w:r>
            <w:proofErr w:type="gramStart"/>
            <w:r w:rsidRPr="00C31CB2">
              <w:rPr>
                <w:sz w:val="24"/>
                <w:szCs w:val="24"/>
              </w:rPr>
              <w:t>-с</w:t>
            </w:r>
            <w:proofErr w:type="gramEnd"/>
            <w:r w:rsidRPr="00C31CB2">
              <w:rPr>
                <w:sz w:val="24"/>
                <w:szCs w:val="24"/>
              </w:rPr>
              <w:t xml:space="preserve">оздание базы креативных идей и проектов въездных групп в городах и поселках; создание индивидуального привлекательного архитектурно-культурного имиджа муниципальных образований </w:t>
            </w:r>
            <w:r w:rsidRPr="00C31CB2">
              <w:rPr>
                <w:sz w:val="24"/>
                <w:szCs w:val="24"/>
              </w:rPr>
              <w:lastRenderedPageBreak/>
              <w:t xml:space="preserve">Российской Федерации . 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751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lastRenderedPageBreak/>
              <w:t>Партнеры, в</w:t>
            </w:r>
            <w:r w:rsidRPr="00C31CB2">
              <w:rPr>
                <w:spacing w:val="-1"/>
                <w:sz w:val="24"/>
                <w:szCs w:val="24"/>
              </w:rPr>
              <w:t xml:space="preserve"> </w:t>
            </w:r>
            <w:r w:rsidRPr="00C31CB2">
              <w:rPr>
                <w:spacing w:val="-5"/>
                <w:sz w:val="24"/>
                <w:szCs w:val="24"/>
              </w:rPr>
              <w:t>том</w:t>
            </w:r>
          </w:p>
          <w:p w:rsidR="00C31CB2" w:rsidRPr="00C31CB2" w:rsidRDefault="00C31CB2">
            <w:pPr>
              <w:pStyle w:val="TableParagraph"/>
              <w:spacing w:line="250" w:lineRule="atLeast"/>
              <w:ind w:right="747"/>
              <w:rPr>
                <w:sz w:val="24"/>
                <w:szCs w:val="24"/>
              </w:rPr>
            </w:pPr>
            <w:proofErr w:type="gramStart"/>
            <w:r w:rsidRPr="00C31CB2">
              <w:rPr>
                <w:sz w:val="24"/>
                <w:szCs w:val="24"/>
              </w:rPr>
              <w:t>числе</w:t>
            </w:r>
            <w:proofErr w:type="gramEnd"/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 xml:space="preserve">заказчик </w:t>
            </w:r>
            <w:r w:rsidRPr="00C31CB2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 Заказчик проекта: Администрация  Бронницкого сельского поселения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Возможные партнеры:</w:t>
            </w:r>
          </w:p>
          <w:p w:rsidR="00C31CB2" w:rsidRPr="00C31CB2" w:rsidRDefault="00C31CB2" w:rsidP="001556A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1CB2">
              <w:rPr>
                <w:sz w:val="24"/>
                <w:szCs w:val="24"/>
                <w:lang w:eastAsia="ru-RU"/>
              </w:rPr>
              <w:t xml:space="preserve"> 1. Администрация района 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Интересы: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 Повышение туристической привлекательности территории.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 Формирование позитивного имиджа населения и гостей.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 Реализация программы благоустройства.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2. Туристические организации и центры развития туризма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Интересы:</w:t>
            </w:r>
            <w:r w:rsidRPr="00C31CB2">
              <w:rPr>
                <w:sz w:val="24"/>
                <w:szCs w:val="24"/>
                <w:lang w:eastAsia="ru-RU"/>
              </w:rPr>
              <w:br/>
              <w:t>Привлечение туристического потока.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Увеличение узнаваемости 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Возможность интегрировать знак в маршруты и маркетинговые кампании.</w:t>
            </w:r>
            <w:r w:rsidRPr="00C31CB2">
              <w:rPr>
                <w:sz w:val="24"/>
                <w:szCs w:val="24"/>
                <w:lang w:eastAsia="ru-RU"/>
              </w:rPr>
              <w:br/>
            </w:r>
            <w:r w:rsidRPr="00C31CB2">
              <w:rPr>
                <w:sz w:val="24"/>
                <w:szCs w:val="24"/>
                <w:lang w:eastAsia="ru-RU"/>
              </w:rPr>
              <w:br/>
              <w:t>3. Местный бизнес (торговля, общепит, гостиницы)</w:t>
            </w:r>
            <w:r w:rsidRPr="00C31CB2">
              <w:rPr>
                <w:sz w:val="24"/>
                <w:szCs w:val="24"/>
                <w:lang w:eastAsia="ru-RU"/>
              </w:rPr>
              <w:br/>
              <w:t>Интересы: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Рост числа посетителей и клиентов.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Имиджевое участие в городских проектах.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Возможность 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t>разместить бренд</w:t>
            </w:r>
            <w:proofErr w:type="gramEnd"/>
            <w:r w:rsidRPr="00C31CB2">
              <w:rPr>
                <w:sz w:val="24"/>
                <w:szCs w:val="24"/>
                <w:lang w:eastAsia="ru-RU"/>
              </w:rPr>
              <w:t xml:space="preserve"> на инфраструктурном объекте </w:t>
            </w:r>
            <w:r w:rsidRPr="00C31CB2">
              <w:rPr>
                <w:sz w:val="24"/>
                <w:szCs w:val="24"/>
                <w:lang w:eastAsia="ru-RU"/>
              </w:rPr>
              <w:br/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5. </w:t>
            </w:r>
            <w:proofErr w:type="gramStart"/>
            <w:r w:rsidRPr="00C31CB2">
              <w:rPr>
                <w:sz w:val="24"/>
                <w:szCs w:val="24"/>
                <w:lang w:eastAsia="ru-RU"/>
              </w:rPr>
              <w:t>Дизайн-студии</w:t>
            </w:r>
            <w:proofErr w:type="gramEnd"/>
            <w:r w:rsidRPr="00C31CB2">
              <w:rPr>
                <w:sz w:val="24"/>
                <w:szCs w:val="24"/>
                <w:lang w:eastAsia="ru-RU"/>
              </w:rPr>
              <w:t>, архитектурные бюро</w:t>
            </w:r>
            <w:r w:rsidRPr="00C31CB2">
              <w:rPr>
                <w:sz w:val="24"/>
                <w:szCs w:val="24"/>
                <w:lang w:eastAsia="ru-RU"/>
              </w:rPr>
              <w:br/>
              <w:t>Интересы: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Портфолио значимого объекта на территории.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Профессиональная репутация.</w:t>
            </w:r>
            <w:r w:rsidRPr="00C31CB2">
              <w:rPr>
                <w:sz w:val="24"/>
                <w:szCs w:val="24"/>
                <w:lang w:eastAsia="ru-RU"/>
              </w:rPr>
              <w:br/>
              <w:t xml:space="preserve"> Участие в конкурсах и </w:t>
            </w:r>
            <w:proofErr w:type="spellStart"/>
            <w:r w:rsidRPr="00C31CB2">
              <w:rPr>
                <w:sz w:val="24"/>
                <w:szCs w:val="24"/>
                <w:lang w:eastAsia="ru-RU"/>
              </w:rPr>
              <w:t>медийность</w:t>
            </w:r>
            <w:proofErr w:type="spellEnd"/>
            <w:r w:rsidRPr="00C31CB2">
              <w:rPr>
                <w:sz w:val="24"/>
                <w:szCs w:val="24"/>
                <w:lang w:eastAsia="ru-RU"/>
              </w:rPr>
              <w:t>.</w:t>
            </w:r>
          </w:p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1CB2" w:rsidRPr="00C31CB2">
        <w:trPr>
          <w:trHeight w:val="814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ind w:right="335"/>
              <w:rPr>
                <w:sz w:val="24"/>
                <w:szCs w:val="24"/>
              </w:rPr>
            </w:pPr>
            <w:r w:rsidRPr="00C31CB2">
              <w:rPr>
                <w:spacing w:val="-2"/>
                <w:sz w:val="24"/>
                <w:szCs w:val="24"/>
              </w:rPr>
              <w:t xml:space="preserve">Достигнутый </w:t>
            </w:r>
            <w:r w:rsidRPr="00C31CB2">
              <w:rPr>
                <w:sz w:val="24"/>
                <w:szCs w:val="24"/>
              </w:rPr>
              <w:t>уровень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>результата</w:t>
            </w:r>
          </w:p>
        </w:tc>
        <w:tc>
          <w:tcPr>
            <w:tcW w:w="3720" w:type="dxa"/>
          </w:tcPr>
          <w:p w:rsidR="00C31CB2" w:rsidRPr="00C31CB2" w:rsidRDefault="00C31CB2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 Готовый продукт</w:t>
            </w:r>
          </w:p>
        </w:tc>
      </w:tr>
      <w:tr w:rsidR="00C31CB2" w:rsidRPr="00C31CB2">
        <w:trPr>
          <w:trHeight w:val="2114"/>
        </w:trPr>
        <w:tc>
          <w:tcPr>
            <w:tcW w:w="2266" w:type="dxa"/>
          </w:tcPr>
          <w:p w:rsidR="00C31CB2" w:rsidRPr="00C31CB2" w:rsidRDefault="00C31CB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>Этап</w:t>
            </w:r>
            <w:r w:rsidRPr="00C31CB2">
              <w:rPr>
                <w:spacing w:val="-4"/>
                <w:sz w:val="24"/>
                <w:szCs w:val="24"/>
              </w:rPr>
              <w:t xml:space="preserve"> </w:t>
            </w:r>
            <w:r w:rsidRPr="00C31CB2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720" w:type="dxa"/>
          </w:tcPr>
          <w:p w:rsidR="00C31CB2" w:rsidRPr="00C31CB2" w:rsidRDefault="00C31CB2" w:rsidP="00297FA7">
            <w:pPr>
              <w:pStyle w:val="TableParagraph"/>
              <w:tabs>
                <w:tab w:val="left" w:pos="599"/>
              </w:tabs>
              <w:spacing w:line="271" w:lineRule="exact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 </w:t>
            </w:r>
            <w:proofErr w:type="gramStart"/>
            <w:r w:rsidRPr="00C31CB2">
              <w:rPr>
                <w:sz w:val="24"/>
                <w:szCs w:val="24"/>
              </w:rPr>
              <w:t>Представлен</w:t>
            </w:r>
            <w:proofErr w:type="gramEnd"/>
            <w:r w:rsidRPr="00C31CB2">
              <w:rPr>
                <w:spacing w:val="-4"/>
                <w:sz w:val="24"/>
                <w:szCs w:val="24"/>
              </w:rPr>
              <w:t xml:space="preserve"> </w:t>
            </w:r>
            <w:r w:rsidRPr="00C31CB2">
              <w:rPr>
                <w:spacing w:val="-5"/>
                <w:sz w:val="24"/>
                <w:szCs w:val="24"/>
              </w:rPr>
              <w:t>на</w:t>
            </w:r>
          </w:p>
          <w:p w:rsidR="00C31CB2" w:rsidRPr="00C31CB2" w:rsidRDefault="00C31CB2" w:rsidP="00297FA7">
            <w:pPr>
              <w:pStyle w:val="TableParagraph"/>
              <w:ind w:left="0"/>
              <w:rPr>
                <w:sz w:val="24"/>
                <w:szCs w:val="24"/>
              </w:rPr>
            </w:pPr>
            <w:r w:rsidRPr="00C31CB2">
              <w:rPr>
                <w:sz w:val="24"/>
                <w:szCs w:val="24"/>
              </w:rPr>
              <w:t xml:space="preserve"> акселераторы,</w:t>
            </w:r>
            <w:r w:rsidRPr="00C31CB2">
              <w:rPr>
                <w:spacing w:val="-14"/>
                <w:sz w:val="24"/>
                <w:szCs w:val="24"/>
              </w:rPr>
              <w:t xml:space="preserve"> </w:t>
            </w:r>
            <w:r w:rsidRPr="00C31CB2">
              <w:rPr>
                <w:sz w:val="24"/>
                <w:szCs w:val="24"/>
              </w:rPr>
              <w:t xml:space="preserve">конкурсы, </w:t>
            </w:r>
            <w:r w:rsidRPr="00C31CB2">
              <w:rPr>
                <w:spacing w:val="-2"/>
                <w:sz w:val="24"/>
                <w:szCs w:val="24"/>
              </w:rPr>
              <w:t>гранты</w:t>
            </w:r>
          </w:p>
        </w:tc>
      </w:tr>
    </w:tbl>
    <w:p w:rsidR="00CC7BFE" w:rsidRPr="00C31CB2" w:rsidRDefault="00CC7BFE">
      <w:pPr>
        <w:rPr>
          <w:sz w:val="24"/>
          <w:szCs w:val="24"/>
        </w:rPr>
      </w:pPr>
    </w:p>
    <w:sectPr w:rsidR="00CC7BFE" w:rsidRPr="00C31CB2" w:rsidSect="00791DAF">
      <w:type w:val="continuous"/>
      <w:pgSz w:w="11910" w:h="16840"/>
      <w:pgMar w:top="680" w:right="127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18D1"/>
    <w:multiLevelType w:val="hybridMultilevel"/>
    <w:tmpl w:val="36DAA2D6"/>
    <w:lvl w:ilvl="0" w:tplc="92902302">
      <w:numFmt w:val="bullet"/>
      <w:lvlText w:val="o"/>
      <w:lvlJc w:val="left"/>
      <w:pPr>
        <w:ind w:left="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907604">
      <w:numFmt w:val="bullet"/>
      <w:lvlText w:val="•"/>
      <w:lvlJc w:val="left"/>
      <w:pPr>
        <w:ind w:left="865" w:hanging="360"/>
      </w:pPr>
      <w:rPr>
        <w:rFonts w:hint="default"/>
        <w:lang w:val="ru-RU" w:eastAsia="en-US" w:bidi="ar-SA"/>
      </w:rPr>
    </w:lvl>
    <w:lvl w:ilvl="2" w:tplc="D45A1D90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3" w:tplc="84005290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4" w:tplc="E9C6E7E8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5" w:tplc="4BB27F54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6" w:tplc="1F78892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7" w:tplc="77B2764C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8" w:tplc="C472FEA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</w:abstractNum>
  <w:abstractNum w:abstractNumId="1">
    <w:nsid w:val="17A66849"/>
    <w:multiLevelType w:val="hybridMultilevel"/>
    <w:tmpl w:val="11BEFA84"/>
    <w:lvl w:ilvl="0" w:tplc="5DD4EE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4F5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866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E6E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21B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0E69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CEF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082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2A5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05168"/>
    <w:multiLevelType w:val="hybridMultilevel"/>
    <w:tmpl w:val="8A1E3498"/>
    <w:lvl w:ilvl="0" w:tplc="1FA665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EA3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C7B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097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EC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CC6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41C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218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AF1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7A547E"/>
    <w:multiLevelType w:val="hybridMultilevel"/>
    <w:tmpl w:val="7660CEBA"/>
    <w:lvl w:ilvl="0" w:tplc="454275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4EF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600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D0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643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86E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CD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DD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41B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E6273F"/>
    <w:multiLevelType w:val="hybridMultilevel"/>
    <w:tmpl w:val="D17C04D2"/>
    <w:lvl w:ilvl="0" w:tplc="3190CF4C">
      <w:numFmt w:val="bullet"/>
      <w:lvlText w:val="o"/>
      <w:lvlJc w:val="left"/>
      <w:pPr>
        <w:ind w:left="5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58C912">
      <w:numFmt w:val="bullet"/>
      <w:lvlText w:val="•"/>
      <w:lvlJc w:val="left"/>
      <w:pPr>
        <w:ind w:left="775" w:hanging="360"/>
      </w:pPr>
      <w:rPr>
        <w:rFonts w:hint="default"/>
        <w:lang w:val="ru-RU" w:eastAsia="en-US" w:bidi="ar-SA"/>
      </w:rPr>
    </w:lvl>
    <w:lvl w:ilvl="2" w:tplc="30BC06E6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3" w:tplc="EBB059D0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4" w:tplc="01BAB0E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45704328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6" w:tplc="E702D850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7" w:tplc="EC74E07C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8" w:tplc="B66A8DF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</w:abstractNum>
  <w:abstractNum w:abstractNumId="5">
    <w:nsid w:val="7D660D21"/>
    <w:multiLevelType w:val="hybridMultilevel"/>
    <w:tmpl w:val="BB346246"/>
    <w:lvl w:ilvl="0" w:tplc="B43043E8">
      <w:numFmt w:val="bullet"/>
      <w:lvlText w:val="o"/>
      <w:lvlJc w:val="left"/>
      <w:pPr>
        <w:ind w:left="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9E9F92">
      <w:numFmt w:val="bullet"/>
      <w:lvlText w:val="•"/>
      <w:lvlJc w:val="left"/>
      <w:pPr>
        <w:ind w:left="865" w:hanging="360"/>
      </w:pPr>
      <w:rPr>
        <w:rFonts w:hint="default"/>
        <w:lang w:val="ru-RU" w:eastAsia="en-US" w:bidi="ar-SA"/>
      </w:rPr>
    </w:lvl>
    <w:lvl w:ilvl="2" w:tplc="3306DB4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3" w:tplc="4B8A61FA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4" w:tplc="4718EA40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5" w:tplc="2C0C572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6" w:tplc="EDF429C0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7" w:tplc="25DE352A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8" w:tplc="D6F8857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91DAF"/>
    <w:rsid w:val="000C6AC7"/>
    <w:rsid w:val="000D36DE"/>
    <w:rsid w:val="001556AA"/>
    <w:rsid w:val="002737F1"/>
    <w:rsid w:val="00297FA7"/>
    <w:rsid w:val="002B55CA"/>
    <w:rsid w:val="003422F4"/>
    <w:rsid w:val="003D77CA"/>
    <w:rsid w:val="00791DAF"/>
    <w:rsid w:val="007F2044"/>
    <w:rsid w:val="00863EF8"/>
    <w:rsid w:val="0097660E"/>
    <w:rsid w:val="00A34FAF"/>
    <w:rsid w:val="00A86551"/>
    <w:rsid w:val="00C31CB2"/>
    <w:rsid w:val="00CC7BFE"/>
    <w:rsid w:val="00E265C9"/>
    <w:rsid w:val="00F514E2"/>
    <w:rsid w:val="00FD3559"/>
    <w:rsid w:val="00FE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1DAF"/>
    <w:pPr>
      <w:spacing w:before="7"/>
    </w:pPr>
    <w:rPr>
      <w:b/>
      <w:bCs/>
    </w:rPr>
  </w:style>
  <w:style w:type="paragraph" w:styleId="a4">
    <w:name w:val="List Paragraph"/>
    <w:basedOn w:val="a"/>
    <w:uiPriority w:val="1"/>
    <w:qFormat/>
    <w:rsid w:val="00791DAF"/>
  </w:style>
  <w:style w:type="paragraph" w:customStyle="1" w:styleId="TableParagraph">
    <w:name w:val="Table Paragraph"/>
    <w:basedOn w:val="a"/>
    <w:uiPriority w:val="1"/>
    <w:qFormat/>
    <w:rsid w:val="00791DAF"/>
    <w:pPr>
      <w:ind w:left="108"/>
    </w:pPr>
  </w:style>
  <w:style w:type="table" w:styleId="a5">
    <w:name w:val="Table Grid"/>
    <w:basedOn w:val="a1"/>
    <w:uiPriority w:val="59"/>
    <w:unhideWhenUsed/>
    <w:rsid w:val="000D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33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59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5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4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50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29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6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2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0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Коновалова</dc:creator>
  <cp:lastModifiedBy>acer</cp:lastModifiedBy>
  <cp:revision>2</cp:revision>
  <dcterms:created xsi:type="dcterms:W3CDTF">2025-12-08T19:31:00Z</dcterms:created>
  <dcterms:modified xsi:type="dcterms:W3CDTF">2025-12-08T19:31:00Z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24.8.6.2 (AARCH64) / LibreOffice Community</vt:lpwstr>
  </property>
  <property fmtid="{D5CDD505-2E9C-101B-9397-08002B2CF9AE}" pid="5" name="LastSaved">
    <vt:filetime>2025-05-15T00:00:00Z</vt:filetime>
  </property>
</Properties>
</file>